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t xml:space="preserve">Certificate Validation</w:t>
      </w:r>
      <w:r/>
    </w:p>
    <w:p>
      <w:pPr>
        <w:pStyle w:val="252"/>
        <w:numPr>
          <w:ilvl w:val="0"/>
          <w:numId w:val="1"/>
        </w:numPr>
      </w:pPr>
      <w:r>
        <w:t xml:space="preserve">Revocation checking</w:t>
      </w:r>
      <w:r/>
    </w:p>
    <w:p>
      <w:pPr>
        <w:pStyle w:val="252"/>
        <w:numPr>
          <w:ilvl w:val="1"/>
          <w:numId w:val="1"/>
        </w:numPr>
      </w:pPr>
      <w:r>
        <w:t xml:space="preserve">CRL</w:t>
      </w:r>
      <w:r/>
    </w:p>
    <w:p>
      <w:pPr>
        <w:pStyle w:val="252"/>
        <w:numPr>
          <w:ilvl w:val="2"/>
          <w:numId w:val="1"/>
        </w:numPr>
      </w:pPr>
      <w:r>
        <w:t xml:space="preserve">Delta CRL</w:t>
      </w:r>
      <w:r/>
    </w:p>
    <w:p>
      <w:pPr>
        <w:pStyle w:val="252"/>
        <w:numPr>
          <w:ilvl w:val="2"/>
          <w:numId w:val="1"/>
        </w:numPr>
      </w:pPr>
      <w:r>
        <w:t xml:space="preserve">Maximum Next Update allowance</w:t>
      </w:r>
      <w:r/>
    </w:p>
    <w:p>
      <w:pPr>
        <w:pStyle w:val="252"/>
        <w:numPr>
          <w:ilvl w:val="2"/>
          <w:numId w:val="1"/>
        </w:numPr>
      </w:pPr>
      <w:r>
        <w:t xml:space="preserve">Restrictions/specification of CRL signing trust anchor</w:t>
      </w:r>
      <w:r/>
    </w:p>
    <w:p>
      <w:pPr>
        <w:pStyle w:val="252"/>
        <w:numPr>
          <w:ilvl w:val="1"/>
          <w:numId w:val="1"/>
        </w:numPr>
      </w:pPr>
      <w:r>
        <w:t xml:space="preserve">OCSP</w:t>
      </w:r>
      <w:r/>
    </w:p>
    <w:p>
      <w:pPr>
        <w:pStyle w:val="252"/>
        <w:numPr>
          <w:ilvl w:val="2"/>
          <w:numId w:val="1"/>
        </w:numPr>
      </w:pPr>
      <w:r>
        <w:t xml:space="preserve">test nextUpdate</w:t>
      </w:r>
      <w:r/>
    </w:p>
    <w:p>
      <w:pPr>
        <w:pStyle w:val="252"/>
        <w:numPr>
          <w:ilvl w:val="2"/>
          <w:numId w:val="1"/>
        </w:numPr>
      </w:pPr>
      <w:r>
        <w:t xml:space="preserve">Clarify behavior if the OCSP response is “unknown”</w:t>
      </w:r>
      <w:r/>
    </w:p>
    <w:p>
      <w:pPr>
        <w:pStyle w:val="252"/>
        <w:numPr>
          <w:ilvl w:val="1"/>
          <w:numId w:val="1"/>
        </w:numPr>
      </w:pPr>
      <w:r>
        <w:t xml:space="preserve">OCSP Stapling</w:t>
      </w:r>
      <w:r/>
    </w:p>
    <w:p>
      <w:pPr>
        <w:pStyle w:val="252"/>
        <w:numPr>
          <w:ilvl w:val="2"/>
          <w:numId w:val="1"/>
        </w:numPr>
      </w:pPr>
      <w:r>
        <w:t xml:space="preserve">Are there the known issues why we this shouldn’t be included?</w:t>
      </w:r>
      <w:r/>
    </w:p>
    <w:p>
      <w:pPr>
        <w:pStyle w:val="252"/>
        <w:numPr>
          <w:ilvl w:val="0"/>
          <w:numId w:val="1"/>
        </w:numPr>
      </w:pPr>
      <w:r>
        <w:t xml:space="preserve">Path length (separate from actually looking at the Basic Constraints) what path length(s) does a TOE need to support?</w:t>
      </w:r>
      <w:r/>
    </w:p>
    <w:p>
      <w:pPr>
        <w:pStyle w:val="252"/>
        <w:numPr>
          <w:ilvl w:val="0"/>
          <w:numId w:val="1"/>
        </w:numPr>
      </w:pPr>
      <w:r>
        <w:t xml:space="preserve">Validity period</w:t>
      </w:r>
      <w:r/>
    </w:p>
    <w:p>
      <w:pPr>
        <w:pStyle w:val="252"/>
        <w:numPr>
          <w:ilvl w:val="1"/>
          <w:numId w:val="1"/>
        </w:numPr>
      </w:pPr>
      <w:r>
        <w:t xml:space="preserve">Not valid before - currently not tested</w:t>
      </w:r>
      <w:r/>
    </w:p>
    <w:p>
      <w:pPr>
        <w:pStyle w:val="252"/>
        <w:numPr>
          <w:ilvl w:val="1"/>
          <w:numId w:val="1"/>
        </w:numPr>
      </w:pPr>
      <w:r>
        <w:t xml:space="preserve">Not valid after</w:t>
      </w:r>
      <w:r/>
    </w:p>
    <w:p>
      <w:pPr>
        <w:pStyle w:val="252"/>
        <w:numPr>
          <w:ilvl w:val="0"/>
          <w:numId w:val="1"/>
        </w:numPr>
      </w:pPr>
      <w:r>
        <w:t xml:space="preserve">Key Usage</w:t>
      </w:r>
      <w:r/>
    </w:p>
    <w:p>
      <w:pPr>
        <w:pStyle w:val="252"/>
        <w:numPr>
          <w:ilvl w:val="1"/>
          <w:numId w:val="1"/>
        </w:numPr>
      </w:pPr>
      <w:r>
        <w:t xml:space="preserve">CRL Sign</w:t>
      </w:r>
      <w:r/>
    </w:p>
    <w:p>
      <w:pPr>
        <w:pStyle w:val="252"/>
        <w:numPr>
          <w:ilvl w:val="1"/>
          <w:numId w:val="1"/>
        </w:numPr>
      </w:pPr>
      <w:r>
        <w:t xml:space="preserve">Certificate Sign</w:t>
      </w:r>
      <w:r/>
    </w:p>
    <w:p>
      <w:pPr>
        <w:pStyle w:val="252"/>
        <w:numPr>
          <w:ilvl w:val="1"/>
          <w:numId w:val="1"/>
        </w:numPr>
      </w:pPr>
      <w:r>
        <w:t xml:space="preserve">Key Encipherment</w:t>
      </w:r>
      <w:r/>
    </w:p>
    <w:p>
      <w:pPr>
        <w:pStyle w:val="252"/>
        <w:numPr>
          <w:ilvl w:val="1"/>
          <w:numId w:val="1"/>
        </w:numPr>
      </w:pPr>
      <w:r>
        <w:t xml:space="preserve">Key Agreement</w:t>
      </w:r>
      <w:r/>
    </w:p>
    <w:p>
      <w:pPr>
        <w:pStyle w:val="252"/>
        <w:numPr>
          <w:ilvl w:val="1"/>
          <w:numId w:val="1"/>
        </w:numPr>
      </w:pPr>
      <w:r>
        <w:t xml:space="preserve">Digital Signature</w:t>
      </w:r>
      <w:r/>
    </w:p>
    <w:p>
      <w:pPr>
        <w:pStyle w:val="252"/>
        <w:numPr>
          <w:ilvl w:val="0"/>
          <w:numId w:val="1"/>
        </w:numPr>
      </w:pPr>
      <w:r>
        <w:t xml:space="preserve">Extended Key Usage</w:t>
      </w:r>
      <w:r/>
    </w:p>
    <w:p>
      <w:pPr>
        <w:pStyle w:val="252"/>
        <w:numPr>
          <w:ilvl w:val="1"/>
          <w:numId w:val="1"/>
        </w:numPr>
      </w:pPr>
      <w:r>
        <w:t xml:space="preserve">TLS Web Server</w:t>
      </w:r>
      <w:r/>
    </w:p>
    <w:p>
      <w:pPr>
        <w:pStyle w:val="252"/>
        <w:numPr>
          <w:ilvl w:val="1"/>
          <w:numId w:val="1"/>
        </w:numPr>
      </w:pPr>
      <w:r>
        <w:t xml:space="preserve">TLS Web Client</w:t>
      </w:r>
      <w:r/>
    </w:p>
    <w:p>
      <w:pPr>
        <w:pStyle w:val="252"/>
        <w:numPr>
          <w:ilvl w:val="1"/>
          <w:numId w:val="1"/>
        </w:numPr>
      </w:pPr>
      <w:r>
        <w:t xml:space="preserve">Code Signing</w:t>
      </w:r>
      <w:r/>
    </w:p>
    <w:p>
      <w:pPr>
        <w:pStyle w:val="252"/>
        <w:numPr>
          <w:ilvl w:val="1"/>
          <w:numId w:val="1"/>
        </w:numPr>
      </w:pPr>
      <w:r>
        <w:t xml:space="preserve">Microsoft Code Signing</w:t>
      </w:r>
      <w:r/>
    </w:p>
    <w:p>
      <w:pPr>
        <w:pStyle w:val="252"/>
        <w:numPr>
          <w:ilvl w:val="1"/>
          <w:numId w:val="1"/>
        </w:numPr>
      </w:pPr>
      <w:r>
        <w:t xml:space="preserve">IPsec end System</w:t>
      </w:r>
      <w:r/>
    </w:p>
    <w:p>
      <w:pPr>
        <w:pStyle w:val="252"/>
        <w:numPr>
          <w:ilvl w:val="1"/>
          <w:numId w:val="1"/>
        </w:numPr>
      </w:pPr>
      <w:r>
        <w:t xml:space="preserve">IPsec Tunnel</w:t>
      </w:r>
      <w:r/>
    </w:p>
    <w:p>
      <w:pPr>
        <w:pStyle w:val="252"/>
        <w:numPr>
          <w:ilvl w:val="1"/>
          <w:numId w:val="1"/>
        </w:numPr>
      </w:pPr>
      <w:r>
        <w:t xml:space="preserve">IPsec User</w:t>
      </w:r>
      <w:r/>
    </w:p>
    <w:p>
      <w:pPr>
        <w:pStyle w:val="252"/>
        <w:numPr>
          <w:ilvl w:val="1"/>
          <w:numId w:val="1"/>
        </w:numPr>
      </w:pPr>
      <w:r>
        <w:t xml:space="preserve">OCSP Signing</w:t>
      </w:r>
      <w:r/>
    </w:p>
    <w:p>
      <w:pPr>
        <w:pStyle w:val="252"/>
        <w:numPr>
          <w:ilvl w:val="0"/>
          <w:numId w:val="1"/>
        </w:numPr>
      </w:pPr>
      <w:r>
        <w:t xml:space="preserve">Key Identifier</w:t>
      </w:r>
      <w:r/>
    </w:p>
    <w:p>
      <w:pPr>
        <w:pStyle w:val="252"/>
        <w:numPr>
          <w:ilvl w:val="1"/>
          <w:numId w:val="1"/>
        </w:numPr>
      </w:pPr>
      <w:r>
        <w:t xml:space="preserve">Subject Key Identifier</w:t>
      </w:r>
      <w:r/>
    </w:p>
    <w:p>
      <w:pPr>
        <w:pStyle w:val="252"/>
        <w:numPr>
          <w:ilvl w:val="1"/>
          <w:numId w:val="1"/>
        </w:numPr>
      </w:pPr>
      <w:r>
        <w:t xml:space="preserve">Authority Key Identifier</w:t>
      </w:r>
      <w:r/>
    </w:p>
    <w:p>
      <w:pPr>
        <w:pStyle w:val="252"/>
        <w:numPr>
          <w:ilvl w:val="0"/>
          <w:numId w:val="1"/>
        </w:numPr>
      </w:pPr>
      <w:r>
        <w:t xml:space="preserve">Basic Constraints</w:t>
      </w:r>
      <w:r/>
    </w:p>
    <w:p>
      <w:pPr>
        <w:pStyle w:val="252"/>
        <w:numPr>
          <w:ilvl w:val="1"/>
          <w:numId w:val="1"/>
        </w:numPr>
      </w:pPr>
      <w:r>
        <w:t xml:space="preserve">Path Length</w:t>
      </w:r>
      <w:r/>
    </w:p>
    <w:p>
      <w:pPr>
        <w:pStyle w:val="252"/>
        <w:numPr>
          <w:ilvl w:val="1"/>
          <w:numId w:val="1"/>
        </w:numPr>
      </w:pPr>
      <w:r>
        <w:t xml:space="preserve">CA=TRUE</w:t>
      </w:r>
      <w:r/>
    </w:p>
    <w:p>
      <w:pPr>
        <w:pStyle w:val="252"/>
        <w:numPr>
          <w:ilvl w:val="1"/>
          <w:numId w:val="1"/>
        </w:numPr>
      </w:pPr>
      <w:r>
        <w:t xml:space="preserve">CA=FALSE (i.e. end entity)</w:t>
      </w:r>
      <w:r/>
    </w:p>
    <w:p>
      <w:pPr>
        <w:pStyle w:val="252"/>
        <w:numPr>
          <w:ilvl w:val="0"/>
          <w:numId w:val="1"/>
        </w:numPr>
      </w:pPr>
      <w:r>
        <w:t xml:space="preserve">Signature crypto</w:t>
      </w:r>
      <w:r/>
    </w:p>
    <w:p>
      <w:pPr>
        <w:pStyle w:val="252"/>
        <w:numPr>
          <w:ilvl w:val="1"/>
          <w:numId w:val="1"/>
        </w:numPr>
      </w:pPr>
      <w:r>
        <w:t xml:space="preserve">algorithm/keysize</w:t>
      </w:r>
      <w:r/>
    </w:p>
    <w:p>
      <w:pPr>
        <w:pStyle w:val="252"/>
        <w:numPr>
          <w:ilvl w:val="2"/>
          <w:numId w:val="1"/>
        </w:numPr>
      </w:pPr>
      <w:r>
        <w:t xml:space="preserve">RSA 2048 or greater</w:t>
      </w:r>
      <w:r/>
    </w:p>
    <w:p>
      <w:pPr>
        <w:pStyle w:val="252"/>
        <w:numPr>
          <w:ilvl w:val="2"/>
          <w:numId w:val="1"/>
        </w:numPr>
      </w:pPr>
      <w:r>
        <w:t xml:space="preserve">ECDSA P-256 or greater</w:t>
      </w:r>
      <w:r/>
    </w:p>
    <w:p>
      <w:pPr>
        <w:pStyle w:val="252"/>
        <w:numPr>
          <w:ilvl w:val="1"/>
          <w:numId w:val="1"/>
        </w:numPr>
      </w:pPr>
      <w:r>
        <w:t xml:space="preserve">hash algorithm</w:t>
      </w:r>
      <w:r/>
    </w:p>
    <w:p>
      <w:pPr>
        <w:pStyle w:val="252"/>
        <w:numPr>
          <w:ilvl w:val="2"/>
          <w:numId w:val="1"/>
        </w:numPr>
      </w:pPr>
      <w:r>
        <w:t xml:space="preserve">SHA-1?</w:t>
      </w:r>
      <w:r/>
    </w:p>
    <w:p>
      <w:pPr>
        <w:pStyle w:val="252"/>
        <w:numPr>
          <w:ilvl w:val="2"/>
          <w:numId w:val="1"/>
        </w:numPr>
      </w:pPr>
      <w:r>
        <w:t xml:space="preserve">SHA-256 or greater</w:t>
      </w:r>
      <w:r/>
    </w:p>
    <w:p>
      <w:pPr>
        <w:pStyle w:val="252"/>
        <w:numPr>
          <w:ilvl w:val="0"/>
          <w:numId w:val="1"/>
        </w:numPr>
        <w:rPr>
          <w:highlight w:val="yellow"/>
        </w:rPr>
      </w:pPr>
      <w:r>
        <w:rPr>
          <w:highlight w:val="yellow"/>
        </w:rPr>
        <w:t xml:space="preserve">Issuer </w:t>
      </w:r>
      <w:r/>
    </w:p>
    <w:p>
      <w:pPr>
        <w:pStyle w:val="252"/>
        <w:numPr>
          <w:ilvl w:val="0"/>
          <w:numId w:val="1"/>
        </w:numPr>
        <w:rPr>
          <w:highlight w:val="yellow"/>
        </w:rPr>
      </w:pPr>
      <w:r>
        <w:rPr>
          <w:highlight w:val="yellow"/>
        </w:rPr>
      </w:r>
      <w:r>
        <w:rPr>
          <w:highlight w:val="yellow"/>
        </w:rPr>
        <w:t xml:space="preserve">Subject </w:t>
      </w:r>
      <w:r/>
    </w:p>
    <w:p>
      <w:pPr>
        <w:pStyle w:val="252"/>
        <w:numPr>
          <w:ilvl w:val="0"/>
          <w:numId w:val="1"/>
        </w:numPr>
        <w:rPr>
          <w:highlight w:val="yellow"/>
        </w:rPr>
      </w:pPr>
      <w:r>
        <w:rPr>
          <w:highlight w:val="yellow"/>
        </w:rPr>
        <w:t xml:space="preserve">SubjectAlternativeName</w:t>
      </w:r>
      <w:r>
        <w:rPr>
          <w:highlight w:val="yellow"/>
        </w:rPr>
      </w:r>
      <w:r/>
    </w:p>
    <w:p>
      <w:pPr>
        <w:pStyle w:val="252"/>
        <w:numPr>
          <w:ilvl w:val="1"/>
          <w:numId w:val="1"/>
        </w:numPr>
        <w:rPr>
          <w:highlight w:val="yellow"/>
        </w:rPr>
      </w:pPr>
      <w:r>
        <w:t xml:space="preserve">IP Address</w:t>
      </w:r>
      <w:r/>
    </w:p>
    <w:p>
      <w:pPr>
        <w:pStyle w:val="252"/>
        <w:numPr>
          <w:ilvl w:val="2"/>
          <w:numId w:val="1"/>
        </w:numPr>
        <w:rPr>
          <w:highlight w:val="yellow"/>
        </w:rPr>
      </w:pPr>
      <w:r>
        <w:t xml:space="preserve">IPv4</w:t>
      </w:r>
      <w:r/>
    </w:p>
    <w:p>
      <w:pPr>
        <w:pStyle w:val="252"/>
        <w:numPr>
          <w:ilvl w:val="2"/>
          <w:numId w:val="1"/>
        </w:numPr>
        <w:rPr>
          <w:highlight w:val="yellow"/>
        </w:rPr>
      </w:pPr>
      <w:r>
        <w:t xml:space="preserve">IPv6</w:t>
      </w:r>
      <w:r/>
    </w:p>
    <w:p>
      <w:pPr>
        <w:pStyle w:val="252"/>
        <w:numPr>
          <w:ilvl w:val="1"/>
          <w:numId w:val="1"/>
        </w:numPr>
        <w:rPr>
          <w:highlight w:val="yellow"/>
        </w:rPr>
      </w:pPr>
      <w:r>
        <w:t xml:space="preserve">FQDN</w:t>
      </w:r>
      <w:r/>
    </w:p>
    <w:p>
      <w:pPr>
        <w:pStyle w:val="252"/>
        <w:numPr>
          <w:ilvl w:val="1"/>
          <w:numId w:val="1"/>
        </w:numPr>
        <w:rPr>
          <w:highlight w:val="yellow"/>
        </w:rPr>
      </w:pPr>
      <w:r>
        <w:t xml:space="preserve">URI</w:t>
      </w:r>
      <w:r/>
    </w:p>
    <w:p>
      <w:pPr>
        <w:pStyle w:val="252"/>
        <w:numPr>
          <w:ilvl w:val="1"/>
          <w:numId w:val="1"/>
        </w:numPr>
        <w:rPr>
          <w:highlight w:val="yellow"/>
        </w:rPr>
      </w:pPr>
      <w:r>
        <w:t xml:space="preserve">SRV</w:t>
      </w:r>
      <w:r/>
    </w:p>
    <w:p>
      <w:pPr>
        <w:pStyle w:val="252"/>
        <w:numPr>
          <w:ilvl w:val="1"/>
          <w:numId w:val="1"/>
        </w:numPr>
        <w:rPr>
          <w:highlight w:val="yellow"/>
        </w:rPr>
      </w:pPr>
      <w:r>
        <w:t xml:space="preserve">user FQDN</w:t>
      </w:r>
      <w:r/>
    </w:p>
    <w:p>
      <w:pPr>
        <w:pStyle w:val="252"/>
        <w:numPr>
          <w:ilvl w:val="0"/>
          <w:numId w:val="1"/>
        </w:numPr>
      </w:pPr>
      <w:r>
        <w:t xml:space="preserve">Are Extension considered mandatory or is the check for Extension contents only performed if the extension is present? The email EP specifically says the </w:t>
      </w:r>
      <w:r/>
    </w:p>
    <w:p>
      <w:pPr>
        <w:pStyle w:val="252"/>
        <w:numPr>
          <w:ilvl w:val="0"/>
          <w:numId w:val="1"/>
        </w:numPr>
      </w:pPr>
      <w:r>
        <w:t xml:space="preserve">Overrides:</w:t>
      </w:r>
      <w:r/>
    </w:p>
    <w:p>
      <w:pPr>
        <w:pStyle w:val="252"/>
        <w:numPr>
          <w:ilvl w:val="1"/>
          <w:numId w:val="1"/>
        </w:numPr>
      </w:pPr>
      <w:r>
        <w:t xml:space="preserve">What can automatically be bypassed by the TOE (e.g. inability to perform revocation check)?</w:t>
      </w:r>
      <w:r/>
    </w:p>
    <w:p>
      <w:pPr>
        <w:pStyle w:val="252"/>
        <w:numPr>
          <w:ilvl w:val="1"/>
          <w:numId w:val="1"/>
        </w:numPr>
      </w:pPr>
      <w:r>
        <w:t xml:space="preserve">What can be bypassed by an administrator? Should it be a temporary or permanent override?</w:t>
      </w:r>
      <w:r/>
    </w:p>
    <w:sectPr>
      <w:footnotePr/>
      <w:type w:val="nextPage"/>
      <w:pgSz w:w="11906" w:h="16838"/>
      <w:pgMar w:top="720" w:right="720" w:bottom="720" w:left="720" w:gutter="0" w:header="709" w:footer="709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suff w:val="tab"/>
      <w:lvlText w:val="·"/>
      <w:lvlJc w:val="left"/>
      <w:pPr>
        <w:ind w:left="720" w:hanging="352"/>
      </w:pPr>
      <w:rPr>
        <w:rFonts w:ascii="Symbol" w:hAnsi="Symbol" w:cs="Symbol" w:eastAsia="Symbol"/>
      </w:rPr>
    </w:lvl>
    <w:lvl w:ilvl="1">
      <w:start w:val="1"/>
      <w:numFmt w:val="bullet"/>
      <w:suff w:val="tab"/>
      <w:lvlText w:val="o"/>
      <w:lvlJc w:val="left"/>
      <w:pPr>
        <w:ind w:left="1440" w:hanging="352"/>
      </w:pPr>
      <w:rPr>
        <w:rFonts w:ascii="Courier New" w:hAnsi="Courier New" w:cs="Courier New" w:eastAsia="Courier New"/>
      </w:rPr>
    </w:lvl>
    <w:lvl w:ilvl="2">
      <w:start w:val="1"/>
      <w:numFmt w:val="bullet"/>
      <w:suff w:val="tab"/>
      <w:lvlText w:val="§"/>
      <w:lvlJc w:val="left"/>
      <w:pPr>
        <w:ind w:left="2160" w:hanging="352"/>
      </w:pPr>
      <w:rPr>
        <w:rFonts w:ascii="Wingdings" w:hAnsi="Wingdings" w:cs="Wingdings" w:eastAsia="Wingdings"/>
      </w:rPr>
    </w:lvl>
    <w:lvl w:ilvl="3">
      <w:start w:val="1"/>
      <w:numFmt w:val="bullet"/>
      <w:suff w:val="tab"/>
      <w:lvlText w:val="·"/>
      <w:lvlJc w:val="left"/>
      <w:pPr>
        <w:ind w:left="2880" w:hanging="352"/>
      </w:pPr>
      <w:rPr>
        <w:rFonts w:ascii="Symbol" w:hAnsi="Symbol" w:cs="Symbol" w:eastAsia="Symbol"/>
      </w:rPr>
    </w:lvl>
    <w:lvl w:ilvl="4">
      <w:start w:val="1"/>
      <w:numFmt w:val="bullet"/>
      <w:suff w:val="tab"/>
      <w:lvlText w:val="o"/>
      <w:lvlJc w:val="left"/>
      <w:pPr>
        <w:ind w:left="3600" w:hanging="352"/>
      </w:pPr>
      <w:rPr>
        <w:rFonts w:ascii="Courier New" w:hAnsi="Courier New" w:cs="Courier New" w:eastAsia="Courier New"/>
      </w:rPr>
    </w:lvl>
    <w:lvl w:ilvl="5">
      <w:start w:val="1"/>
      <w:numFmt w:val="bullet"/>
      <w:suff w:val="tab"/>
      <w:lvlText w:val="§"/>
      <w:lvlJc w:val="left"/>
      <w:pPr>
        <w:ind w:left="4320" w:hanging="352"/>
      </w:pPr>
      <w:rPr>
        <w:rFonts w:ascii="Wingdings" w:hAnsi="Wingdings" w:cs="Wingdings" w:eastAsia="Wingdings"/>
      </w:rPr>
    </w:lvl>
    <w:lvl w:ilvl="6">
      <w:start w:val="1"/>
      <w:numFmt w:val="bullet"/>
      <w:suff w:val="tab"/>
      <w:lvlText w:val="·"/>
      <w:lvlJc w:val="left"/>
      <w:pPr>
        <w:ind w:left="5040" w:hanging="352"/>
      </w:pPr>
      <w:rPr>
        <w:rFonts w:ascii="Symbol" w:hAnsi="Symbol" w:cs="Symbol" w:eastAsia="Symbol"/>
      </w:rPr>
    </w:lvl>
    <w:lvl w:ilvl="7">
      <w:start w:val="1"/>
      <w:numFmt w:val="bullet"/>
      <w:suff w:val="tab"/>
      <w:lvlText w:val="o"/>
      <w:lvlJc w:val="left"/>
      <w:pPr>
        <w:ind w:left="5760" w:hanging="352"/>
      </w:pPr>
      <w:rPr>
        <w:rFonts w:ascii="Courier New" w:hAnsi="Courier New" w:cs="Courier New" w:eastAsia="Courier New"/>
      </w:rPr>
    </w:lvl>
    <w:lvl w:ilvl="8">
      <w:start w:val="1"/>
      <w:numFmt w:val="bullet"/>
      <w:suff w:val="tab"/>
      <w:lvlText w:val="§"/>
      <w:lvlJc w:val="left"/>
      <w:pPr>
        <w:ind w:left="6480" w:hanging="352"/>
      </w:pPr>
      <w:rPr>
        <w:rFonts w:ascii="Wingdings" w:hAnsi="Wingdings" w:cs="Wingdings" w:eastAsia="Wingdings"/>
      </w:rPr>
    </w:lvl>
  </w:abstractNum>
  <w:abstractNum w:abstractNumId="1">
    <w:multiLevelType w:val="hybridMultilevel"/>
    <w:lvl w:ilvl="0">
      <w:start w:val="1"/>
      <w:numFmt w:val="bullet"/>
      <w:suff w:val="tab"/>
      <w:lvlText w:val="·"/>
      <w:lvlJc w:val="left"/>
      <w:pPr>
        <w:ind w:left="720" w:hanging="352"/>
      </w:pPr>
      <w:rPr>
        <w:rFonts w:ascii="Symbol" w:hAnsi="Symbol" w:cs="Symbol" w:eastAsia="Symbol"/>
      </w:rPr>
    </w:lvl>
    <w:lvl w:ilvl="1">
      <w:start w:val="1"/>
      <w:numFmt w:val="bullet"/>
      <w:suff w:val="tab"/>
      <w:lvlText w:val="o"/>
      <w:lvlJc w:val="left"/>
      <w:pPr>
        <w:ind w:left="1440" w:hanging="352"/>
      </w:pPr>
      <w:rPr>
        <w:rFonts w:ascii="Courier New" w:hAnsi="Courier New" w:cs="Courier New" w:eastAsia="Courier New"/>
      </w:rPr>
    </w:lvl>
    <w:lvl w:ilvl="2">
      <w:start w:val="1"/>
      <w:numFmt w:val="bullet"/>
      <w:suff w:val="tab"/>
      <w:lvlText w:val="§"/>
      <w:lvlJc w:val="left"/>
      <w:pPr>
        <w:ind w:left="2160" w:hanging="352"/>
      </w:pPr>
      <w:rPr>
        <w:rFonts w:ascii="Wingdings" w:hAnsi="Wingdings" w:cs="Wingdings" w:eastAsia="Wingdings"/>
      </w:rPr>
    </w:lvl>
    <w:lvl w:ilvl="3">
      <w:start w:val="1"/>
      <w:numFmt w:val="bullet"/>
      <w:suff w:val="tab"/>
      <w:lvlText w:val="·"/>
      <w:lvlJc w:val="left"/>
      <w:pPr>
        <w:ind w:left="2880" w:hanging="352"/>
      </w:pPr>
      <w:rPr>
        <w:rFonts w:ascii="Symbol" w:hAnsi="Symbol" w:cs="Symbol" w:eastAsia="Symbol"/>
      </w:rPr>
    </w:lvl>
    <w:lvl w:ilvl="4">
      <w:start w:val="1"/>
      <w:numFmt w:val="bullet"/>
      <w:suff w:val="tab"/>
      <w:lvlText w:val="o"/>
      <w:lvlJc w:val="left"/>
      <w:pPr>
        <w:ind w:left="3600" w:hanging="352"/>
      </w:pPr>
      <w:rPr>
        <w:rFonts w:ascii="Courier New" w:hAnsi="Courier New" w:cs="Courier New" w:eastAsia="Courier New"/>
      </w:rPr>
    </w:lvl>
    <w:lvl w:ilvl="5">
      <w:start w:val="1"/>
      <w:numFmt w:val="bullet"/>
      <w:suff w:val="tab"/>
      <w:lvlText w:val="§"/>
      <w:lvlJc w:val="left"/>
      <w:pPr>
        <w:ind w:left="4320" w:hanging="352"/>
      </w:pPr>
      <w:rPr>
        <w:rFonts w:ascii="Wingdings" w:hAnsi="Wingdings" w:cs="Wingdings" w:eastAsia="Wingdings"/>
      </w:rPr>
    </w:lvl>
    <w:lvl w:ilvl="6">
      <w:start w:val="1"/>
      <w:numFmt w:val="bullet"/>
      <w:suff w:val="tab"/>
      <w:lvlText w:val="·"/>
      <w:lvlJc w:val="left"/>
      <w:pPr>
        <w:ind w:left="5040" w:hanging="352"/>
      </w:pPr>
      <w:rPr>
        <w:rFonts w:ascii="Symbol" w:hAnsi="Symbol" w:cs="Symbol" w:eastAsia="Symbol"/>
      </w:rPr>
    </w:lvl>
    <w:lvl w:ilvl="7">
      <w:start w:val="1"/>
      <w:numFmt w:val="bullet"/>
      <w:suff w:val="tab"/>
      <w:lvlText w:val="o"/>
      <w:lvlJc w:val="left"/>
      <w:pPr>
        <w:ind w:left="5760" w:hanging="352"/>
      </w:pPr>
      <w:rPr>
        <w:rFonts w:ascii="Courier New" w:hAnsi="Courier New" w:cs="Courier New" w:eastAsia="Courier New"/>
      </w:rPr>
    </w:lvl>
    <w:lvl w:ilvl="8">
      <w:start w:val="1"/>
      <w:numFmt w:val="bullet"/>
      <w:suff w:val="tab"/>
      <w:lvlText w:val="§"/>
      <w:lvlJc w:val="left"/>
      <w:pPr>
        <w:ind w:left="6480" w:hanging="352"/>
      </w:pPr>
      <w:rPr>
        <w:rFonts w:ascii="Wingdings" w:hAnsi="Wingdings" w:cs="Wingdings" w:eastAsia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color w:val="auto"/>
        <w:spacing w:val="0"/>
        <w:position w:val="0"/>
        <w:sz w:val="22"/>
        <w:szCs w:val="22"/>
        <w:lang w:val="en-US" w:bidi="ar-SA" w:eastAsia="en-US"/>
      </w:rPr>
    </w:rPrDefault>
    <w:pPrDefault>
      <w:pPr>
        <w:ind w:left="0" w:right="0" w:hanging="0"/>
        <w:jc w:val="left"/>
        <w:spacing w:lineRule="auto" w:line="276" w:after="20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82">
    <w:name w:val="Heading 1"/>
    <w:basedOn w:val="248"/>
    <w:next w:val="248"/>
    <w:link w:val="183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83">
    <w:name w:val="Heading 1 Char"/>
    <w:link w:val="182"/>
    <w:uiPriority w:val="9"/>
    <w:rPr>
      <w:rFonts w:ascii="Arial" w:hAnsi="Arial" w:cs="Arial" w:eastAsia="Arial"/>
      <w:sz w:val="40"/>
      <w:szCs w:val="40"/>
    </w:rPr>
  </w:style>
  <w:style w:type="paragraph" w:styleId="184">
    <w:name w:val="Heading 2"/>
    <w:basedOn w:val="248"/>
    <w:next w:val="248"/>
    <w:link w:val="185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85">
    <w:name w:val="Heading 2 Char"/>
    <w:link w:val="184"/>
    <w:uiPriority w:val="9"/>
    <w:rPr>
      <w:rFonts w:ascii="Arial" w:hAnsi="Arial" w:cs="Arial" w:eastAsia="Arial"/>
      <w:sz w:val="34"/>
    </w:rPr>
  </w:style>
  <w:style w:type="paragraph" w:styleId="186">
    <w:name w:val="Heading 3"/>
    <w:basedOn w:val="248"/>
    <w:next w:val="248"/>
    <w:link w:val="187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87">
    <w:name w:val="Heading 3 Char"/>
    <w:link w:val="186"/>
    <w:uiPriority w:val="9"/>
    <w:rPr>
      <w:rFonts w:ascii="Arial" w:hAnsi="Arial" w:cs="Arial" w:eastAsia="Arial"/>
      <w:sz w:val="30"/>
      <w:szCs w:val="30"/>
    </w:rPr>
  </w:style>
  <w:style w:type="paragraph" w:styleId="188">
    <w:name w:val="Heading 4"/>
    <w:basedOn w:val="248"/>
    <w:next w:val="248"/>
    <w:link w:val="189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9">
    <w:name w:val="Heading 4 Char"/>
    <w:link w:val="188"/>
    <w:uiPriority w:val="9"/>
    <w:rPr>
      <w:rFonts w:ascii="Arial" w:hAnsi="Arial" w:cs="Arial" w:eastAsia="Arial"/>
      <w:b/>
      <w:bCs/>
      <w:sz w:val="26"/>
      <w:szCs w:val="26"/>
    </w:rPr>
  </w:style>
  <w:style w:type="paragraph" w:styleId="190">
    <w:name w:val="Heading 5"/>
    <w:basedOn w:val="248"/>
    <w:next w:val="248"/>
    <w:link w:val="191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191">
    <w:name w:val="Heading 5 Char"/>
    <w:link w:val="190"/>
    <w:uiPriority w:val="9"/>
    <w:rPr>
      <w:rFonts w:ascii="Arial" w:hAnsi="Arial" w:cs="Arial" w:eastAsia="Arial"/>
      <w:b/>
      <w:bCs/>
      <w:sz w:val="24"/>
      <w:szCs w:val="24"/>
    </w:rPr>
  </w:style>
  <w:style w:type="paragraph" w:styleId="192">
    <w:name w:val="Heading 6"/>
    <w:basedOn w:val="248"/>
    <w:next w:val="248"/>
    <w:link w:val="193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193">
    <w:name w:val="Heading 6 Char"/>
    <w:link w:val="192"/>
    <w:uiPriority w:val="9"/>
    <w:rPr>
      <w:rFonts w:ascii="Arial" w:hAnsi="Arial" w:cs="Arial" w:eastAsia="Arial"/>
      <w:b/>
      <w:bCs/>
      <w:sz w:val="22"/>
      <w:szCs w:val="22"/>
    </w:rPr>
  </w:style>
  <w:style w:type="paragraph" w:styleId="194">
    <w:name w:val="Heading 7"/>
    <w:basedOn w:val="248"/>
    <w:next w:val="248"/>
    <w:link w:val="195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195">
    <w:name w:val="Heading 7 Char"/>
    <w:link w:val="19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196">
    <w:name w:val="Heading 8"/>
    <w:basedOn w:val="248"/>
    <w:next w:val="248"/>
    <w:link w:val="197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197">
    <w:name w:val="Heading 8 Char"/>
    <w:link w:val="196"/>
    <w:uiPriority w:val="9"/>
    <w:rPr>
      <w:rFonts w:ascii="Arial" w:hAnsi="Arial" w:cs="Arial" w:eastAsia="Arial"/>
      <w:i/>
      <w:iCs/>
      <w:sz w:val="22"/>
      <w:szCs w:val="22"/>
    </w:rPr>
  </w:style>
  <w:style w:type="paragraph" w:styleId="198">
    <w:name w:val="Heading 9"/>
    <w:basedOn w:val="248"/>
    <w:next w:val="248"/>
    <w:link w:val="199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199">
    <w:name w:val="Heading 9 Char"/>
    <w:link w:val="198"/>
    <w:uiPriority w:val="9"/>
    <w:rPr>
      <w:rFonts w:ascii="Arial" w:hAnsi="Arial" w:cs="Arial" w:eastAsia="Arial"/>
      <w:i/>
      <w:iCs/>
      <w:sz w:val="21"/>
      <w:szCs w:val="21"/>
    </w:rPr>
  </w:style>
  <w:style w:type="paragraph" w:styleId="200">
    <w:name w:val="Title"/>
    <w:basedOn w:val="248"/>
    <w:next w:val="248"/>
    <w:link w:val="201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201">
    <w:name w:val="Title Char"/>
    <w:link w:val="200"/>
    <w:uiPriority w:val="10"/>
    <w:rPr>
      <w:sz w:val="48"/>
      <w:szCs w:val="48"/>
    </w:rPr>
  </w:style>
  <w:style w:type="paragraph" w:styleId="202">
    <w:name w:val="Subtitle"/>
    <w:basedOn w:val="248"/>
    <w:next w:val="248"/>
    <w:link w:val="203"/>
    <w:qFormat/>
    <w:uiPriority w:val="11"/>
    <w:rPr>
      <w:sz w:val="24"/>
      <w:szCs w:val="24"/>
    </w:rPr>
    <w:pPr>
      <w:spacing w:after="200" w:before="200"/>
    </w:pPr>
  </w:style>
  <w:style w:type="character" w:styleId="203">
    <w:name w:val="Subtitle Char"/>
    <w:link w:val="202"/>
    <w:uiPriority w:val="11"/>
    <w:rPr>
      <w:sz w:val="24"/>
      <w:szCs w:val="24"/>
    </w:rPr>
  </w:style>
  <w:style w:type="paragraph" w:styleId="204">
    <w:name w:val="Quote"/>
    <w:basedOn w:val="248"/>
    <w:next w:val="248"/>
    <w:link w:val="205"/>
    <w:qFormat/>
    <w:uiPriority w:val="29"/>
    <w:rPr>
      <w:i/>
    </w:rPr>
    <w:pPr>
      <w:ind w:left="720" w:right="720"/>
    </w:pPr>
  </w:style>
  <w:style w:type="character" w:styleId="205">
    <w:name w:val="Quote Char"/>
    <w:link w:val="204"/>
    <w:uiPriority w:val="29"/>
    <w:rPr>
      <w:i/>
    </w:rPr>
  </w:style>
  <w:style w:type="paragraph" w:styleId="206">
    <w:name w:val="Intense Quote"/>
    <w:basedOn w:val="248"/>
    <w:next w:val="248"/>
    <w:link w:val="207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207">
    <w:name w:val="Intense Quote Char"/>
    <w:link w:val="206"/>
    <w:uiPriority w:val="30"/>
    <w:rPr>
      <w:i/>
    </w:rPr>
  </w:style>
  <w:style w:type="paragraph" w:styleId="208">
    <w:name w:val="Header"/>
    <w:basedOn w:val="248"/>
    <w:link w:val="209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209">
    <w:name w:val="Header Char"/>
    <w:link w:val="208"/>
    <w:uiPriority w:val="99"/>
  </w:style>
  <w:style w:type="paragraph" w:styleId="210">
    <w:name w:val="Footer"/>
    <w:basedOn w:val="248"/>
    <w:link w:val="21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211">
    <w:name w:val="Footer Char"/>
    <w:link w:val="210"/>
    <w:uiPriority w:val="99"/>
  </w:style>
  <w:style w:type="table" w:styleId="212">
    <w:name w:val="Table Grid"/>
    <w:basedOn w:val="249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213">
    <w:name w:val="Lined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14">
    <w:name w:val="Lined - Accent 1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15">
    <w:name w:val="Lined - Accent 2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16">
    <w:name w:val="Lined - Accent 3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559"/>
      </w:tcPr>
    </w:tblStylePr>
  </w:style>
  <w:style w:type="table" w:styleId="217">
    <w:name w:val="Lined - Accent 4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18">
    <w:name w:val="Lined - Accent 5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19">
    <w:name w:val="Lined - Accent 6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table" w:styleId="220">
    <w:name w:val="Bordered"/>
    <w:basedOn w:val="2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/>
        <w:top w:val="single" w:color="D9D9D9" w:sz="4" w:space="0"/>
        <w:right w:val="single" w:color="D9D9D9" w:sz="4" w:space="0"/>
        <w:bottom w:val="single" w:color="D9D9D9" w:sz="4" w:space="0"/>
        <w:insideV w:val="single" w:color="D9D9D9" w:sz="4" w:space="0"/>
        <w:insideH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/>
          <w:top w:val="single" w:color="D9D9D9" w:sz="4" w:space="0"/>
          <w:right w:val="single" w:color="D9D9D9" w:sz="4" w:space="0"/>
          <w:bottom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7F7F7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221">
    <w:name w:val="Bordered - Accent 1"/>
    <w:basedOn w:val="2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8CCE4" w:sz="4" w:space="0"/>
        <w:top w:val="single" w:color="B8CCE4" w:sz="4" w:space="0"/>
        <w:right w:val="single" w:color="B8CCE4" w:sz="4" w:space="0"/>
        <w:bottom w:val="single" w:color="B8CCE4" w:sz="4" w:space="0"/>
        <w:insideV w:val="single" w:color="B8CCE4" w:sz="4" w:space="0"/>
        <w:insideH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8CCE4" w:sz="4" w:space="0"/>
          <w:top w:val="single" w:color="B8CCE4" w:sz="4" w:space="0"/>
          <w:right w:val="single" w:color="B8CCE4" w:sz="4" w:space="0"/>
          <w:bottom w:val="single" w:color="B8CCE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4F81BD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222">
    <w:name w:val="Bordered - Accent 2"/>
    <w:basedOn w:val="2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8B7" w:sz="4" w:space="0"/>
        <w:top w:val="single" w:color="E5B8B7" w:sz="4" w:space="0"/>
        <w:right w:val="single" w:color="E5B8B7" w:sz="4" w:space="0"/>
        <w:bottom w:val="single" w:color="E5B8B7" w:sz="4" w:space="0"/>
        <w:insideV w:val="single" w:color="E5B8B7" w:sz="4" w:space="0"/>
        <w:insideH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8B7" w:sz="4" w:space="0"/>
          <w:top w:val="single" w:color="E5B8B7" w:sz="4" w:space="0"/>
          <w:right w:val="single" w:color="E5B8B7" w:sz="4" w:space="0"/>
          <w:bottom w:val="single" w:color="E5B8B7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D99594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594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594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594" w:sz="12" w:space="0"/>
        </w:tcBorders>
      </w:tcPr>
    </w:tblStylePr>
  </w:style>
  <w:style w:type="table" w:styleId="223">
    <w:name w:val="Bordered - Accent 3"/>
    <w:basedOn w:val="2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C" w:sz="4" w:space="0"/>
        <w:top w:val="single" w:color="D6E3BC" w:sz="4" w:space="0"/>
        <w:right w:val="single" w:color="D6E3BC" w:sz="4" w:space="0"/>
        <w:bottom w:val="single" w:color="D6E3BC" w:sz="4" w:space="0"/>
        <w:insideV w:val="single" w:color="D6E3BC" w:sz="4" w:space="0"/>
        <w:insideH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C" w:sz="4" w:space="0"/>
          <w:top w:val="single" w:color="D6E3BC" w:sz="4" w:space="0"/>
          <w:right w:val="single" w:color="D6E3BC" w:sz="4" w:space="0"/>
          <w:bottom w:val="single" w:color="D6E3BC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C2D69B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2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2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2D69B" w:sz="12" w:space="0"/>
        </w:tcBorders>
      </w:tcPr>
    </w:tblStylePr>
  </w:style>
  <w:style w:type="table" w:styleId="224">
    <w:name w:val="Bordered - Accent 4"/>
    <w:basedOn w:val="2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0D9" w:sz="4" w:space="0"/>
        <w:top w:val="single" w:color="CCC0D9" w:sz="4" w:space="0"/>
        <w:right w:val="single" w:color="CCC0D9" w:sz="4" w:space="0"/>
        <w:bottom w:val="single" w:color="CCC0D9" w:sz="4" w:space="0"/>
        <w:insideV w:val="single" w:color="CCC0D9" w:sz="4" w:space="0"/>
        <w:insideH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CC0D9" w:sz="4" w:space="0"/>
          <w:top w:val="single" w:color="CCC0D9" w:sz="4" w:space="0"/>
          <w:right w:val="single" w:color="CCC0D9" w:sz="4" w:space="0"/>
          <w:bottom w:val="single" w:color="CCC0D9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B2A1C7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7" w:sz="12" w:space="0"/>
        </w:tcBorders>
      </w:tcPr>
    </w:tblStylePr>
  </w:style>
  <w:style w:type="table" w:styleId="225">
    <w:name w:val="Bordered - Accent 5"/>
    <w:basedOn w:val="2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/>
        <w:top w:val="single" w:color="B6DDE8" w:sz="4" w:space="0"/>
        <w:right w:val="single" w:color="B6DDE8" w:sz="4" w:space="0"/>
        <w:bottom w:val="single" w:color="B6DDE8" w:sz="4" w:space="0"/>
        <w:insideV w:val="single" w:color="B6DDE8" w:sz="4" w:space="0"/>
        <w:insideH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/>
          <w:top w:val="single" w:color="B6DDE8" w:sz="4" w:space="0"/>
          <w:right w:val="single" w:color="B6DDE8" w:sz="4" w:space="0"/>
          <w:bottom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92CDDC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D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D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DDC" w:sz="12" w:space="0"/>
        </w:tcBorders>
      </w:tcPr>
    </w:tblStylePr>
  </w:style>
  <w:style w:type="table" w:styleId="226">
    <w:name w:val="Bordered - Accent 6"/>
    <w:basedOn w:val="249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/>
        <w:top w:val="single" w:color="FBD4B4" w:sz="4" w:space="0"/>
        <w:right w:val="single" w:color="FBD4B4" w:sz="4" w:space="0"/>
        <w:bottom w:val="single" w:color="FBD4B4" w:sz="4" w:space="0"/>
        <w:insideV w:val="single" w:color="FBD4B4" w:sz="4" w:space="0"/>
        <w:insideH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/>
          <w:top w:val="single" w:color="FBD4B4" w:sz="4" w:space="0"/>
          <w:right w:val="single" w:color="FBD4B4" w:sz="4" w:space="0"/>
          <w:bottom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  <w:tcPr>
        <w:tcBorders>
          <w:right w:val="single" w:color="FABF8F" w:sz="12" w:space="0"/>
        </w:tcBorders>
      </w:tc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BF8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BF8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BF8F" w:sz="12" w:space="0"/>
        </w:tcBorders>
      </w:tcPr>
    </w:tblStylePr>
  </w:style>
  <w:style w:type="table" w:styleId="227">
    <w:name w:val="Bordered &amp; Lined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/>
        <w:top w:val="single" w:color="595959" w:sz="4" w:space="0"/>
        <w:right w:val="single" w:color="595959" w:sz="4" w:space="0"/>
        <w:bottom w:val="single" w:color="595959" w:sz="4" w:space="0"/>
        <w:insideV w:val="single" w:color="595959" w:sz="4" w:space="0"/>
        <w:insideH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9D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7F7F7F"/>
      </w:tcPr>
    </w:tblStylePr>
  </w:style>
  <w:style w:type="table" w:styleId="228">
    <w:name w:val="Bordered &amp; Lined - Accent 1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1F497D" w:sz="4" w:space="0"/>
        <w:top w:val="single" w:color="1F497D" w:sz="4" w:space="0"/>
        <w:right w:val="single" w:color="1F497D" w:sz="4" w:space="0"/>
        <w:bottom w:val="single" w:color="1F497D" w:sz="4" w:space="0"/>
        <w:insideV w:val="single" w:color="1F497D" w:sz="4" w:space="0"/>
        <w:insideH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C6D9F1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548DD4"/>
      </w:tcPr>
    </w:tblStylePr>
  </w:style>
  <w:style w:type="table" w:styleId="229">
    <w:name w:val="Bordered &amp; Lined - Accent 2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0504D" w:sz="4" w:space="0"/>
        <w:top w:val="single" w:color="C0504D" w:sz="4" w:space="0"/>
        <w:right w:val="single" w:color="C0504D" w:sz="4" w:space="0"/>
        <w:bottom w:val="single" w:color="C0504D" w:sz="4" w:space="0"/>
        <w:insideV w:val="single" w:color="C0504D" w:sz="4" w:space="0"/>
        <w:insideH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2DBDB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D99594"/>
      </w:tcPr>
    </w:tblStylePr>
  </w:style>
  <w:style w:type="table" w:styleId="230">
    <w:name w:val="Bordered &amp; Lined - Accent 3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6923C" w:sz="4" w:space="0"/>
        <w:top w:val="single" w:color="76923C" w:sz="4" w:space="0"/>
        <w:right w:val="single" w:color="76923C" w:sz="4" w:space="0"/>
        <w:bottom w:val="single" w:color="76923C" w:sz="4" w:space="0"/>
        <w:insideV w:val="single" w:color="76923C" w:sz="4" w:space="0"/>
        <w:insideH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AF1D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9BBB59"/>
      </w:tcPr>
    </w:tblStylePr>
  </w:style>
  <w:style w:type="table" w:styleId="231">
    <w:name w:val="Bordered &amp; Lined - Accent 4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8064A2" w:sz="4" w:space="0"/>
        <w:top w:val="single" w:color="8064A2" w:sz="4" w:space="0"/>
        <w:right w:val="single" w:color="8064A2" w:sz="4" w:space="0"/>
        <w:bottom w:val="single" w:color="8064A2" w:sz="4" w:space="0"/>
        <w:insideV w:val="single" w:color="8064A2" w:sz="4" w:space="0"/>
        <w:insideH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B2A1C7"/>
      </w:tcPr>
    </w:tblStylePr>
  </w:style>
  <w:style w:type="table" w:styleId="232">
    <w:name w:val="Bordered &amp; Lined - Accent 5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31849B" w:sz="4" w:space="0"/>
        <w:top w:val="single" w:color="31849B" w:sz="4" w:space="0"/>
        <w:right w:val="single" w:color="31849B" w:sz="4" w:space="0"/>
        <w:bottom w:val="single" w:color="31849B" w:sz="4" w:space="0"/>
        <w:insideV w:val="single" w:color="31849B" w:sz="4" w:space="0"/>
        <w:insideH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4BACC6"/>
      </w:tcPr>
    </w:tblStylePr>
  </w:style>
  <w:style w:type="table" w:styleId="233">
    <w:name w:val="Bordered &amp; Lined - Accent 6"/>
    <w:basedOn w:val="249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36C0A" w:sz="4" w:space="0"/>
        <w:top w:val="single" w:color="E36C0A" w:sz="4" w:space="0"/>
        <w:right w:val="single" w:color="E36C0A" w:sz="4" w:space="0"/>
        <w:bottom w:val="single" w:color="E36C0A" w:sz="4" w:space="0"/>
        <w:insideV w:val="single" w:color="E36C0A" w:sz="4" w:space="0"/>
        <w:insideH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DE9D9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79646"/>
      </w:tcPr>
    </w:tblStylePr>
  </w:style>
  <w:style w:type="character" w:styleId="234">
    <w:name w:val="Hyperlink"/>
    <w:uiPriority w:val="99"/>
    <w:unhideWhenUsed/>
    <w:rPr>
      <w:color w:val="0000FF" w:themeColor="hyperlink"/>
      <w:u w:val="single"/>
    </w:rPr>
  </w:style>
  <w:style w:type="paragraph" w:styleId="235">
    <w:name w:val="footnote text"/>
    <w:basedOn w:val="248"/>
    <w:link w:val="236"/>
    <w:uiPriority w:val="99"/>
    <w:semiHidden/>
    <w:unhideWhenUsed/>
    <w:rPr>
      <w:sz w:val="18"/>
    </w:rPr>
    <w:pPr>
      <w:spacing w:lineRule="auto" w:line="240" w:after="40"/>
    </w:pPr>
  </w:style>
  <w:style w:type="character" w:styleId="236">
    <w:name w:val="Footnote Text Char"/>
    <w:link w:val="235"/>
    <w:uiPriority w:val="99"/>
    <w:rPr>
      <w:sz w:val="18"/>
    </w:rPr>
  </w:style>
  <w:style w:type="character" w:styleId="237">
    <w:name w:val="footnote reference"/>
    <w:uiPriority w:val="99"/>
    <w:unhideWhenUsed/>
    <w:rPr>
      <w:vertAlign w:val="superscript"/>
    </w:rPr>
  </w:style>
  <w:style w:type="paragraph" w:styleId="238">
    <w:name w:val="toc 1"/>
    <w:basedOn w:val="248"/>
    <w:next w:val="248"/>
    <w:uiPriority w:val="39"/>
    <w:unhideWhenUsed/>
    <w:pPr>
      <w:ind w:left="0" w:right="0" w:hanging="0"/>
      <w:spacing w:after="57"/>
    </w:pPr>
  </w:style>
  <w:style w:type="paragraph" w:styleId="239">
    <w:name w:val="toc 2"/>
    <w:basedOn w:val="248"/>
    <w:next w:val="248"/>
    <w:uiPriority w:val="39"/>
    <w:unhideWhenUsed/>
    <w:pPr>
      <w:ind w:left="283" w:right="0" w:hanging="0"/>
      <w:spacing w:after="57"/>
    </w:pPr>
  </w:style>
  <w:style w:type="paragraph" w:styleId="240">
    <w:name w:val="toc 3"/>
    <w:basedOn w:val="248"/>
    <w:next w:val="248"/>
    <w:uiPriority w:val="39"/>
    <w:unhideWhenUsed/>
    <w:pPr>
      <w:ind w:left="567" w:right="0" w:hanging="0"/>
      <w:spacing w:after="57"/>
    </w:pPr>
  </w:style>
  <w:style w:type="paragraph" w:styleId="241">
    <w:name w:val="toc 4"/>
    <w:basedOn w:val="248"/>
    <w:next w:val="248"/>
    <w:uiPriority w:val="39"/>
    <w:unhideWhenUsed/>
    <w:pPr>
      <w:ind w:left="850" w:right="0" w:hanging="0"/>
      <w:spacing w:after="57"/>
    </w:pPr>
  </w:style>
  <w:style w:type="paragraph" w:styleId="242">
    <w:name w:val="toc 5"/>
    <w:basedOn w:val="248"/>
    <w:next w:val="248"/>
    <w:uiPriority w:val="39"/>
    <w:unhideWhenUsed/>
    <w:pPr>
      <w:ind w:left="1134" w:right="0" w:hanging="0"/>
      <w:spacing w:after="57"/>
    </w:pPr>
  </w:style>
  <w:style w:type="paragraph" w:styleId="243">
    <w:name w:val="toc 6"/>
    <w:basedOn w:val="248"/>
    <w:next w:val="248"/>
    <w:uiPriority w:val="39"/>
    <w:unhideWhenUsed/>
    <w:pPr>
      <w:ind w:left="1417" w:right="0" w:hanging="0"/>
      <w:spacing w:after="57"/>
    </w:pPr>
  </w:style>
  <w:style w:type="paragraph" w:styleId="244">
    <w:name w:val="toc 7"/>
    <w:basedOn w:val="248"/>
    <w:next w:val="248"/>
    <w:uiPriority w:val="39"/>
    <w:unhideWhenUsed/>
    <w:pPr>
      <w:ind w:left="1701" w:right="0" w:hanging="0"/>
      <w:spacing w:after="57"/>
    </w:pPr>
  </w:style>
  <w:style w:type="paragraph" w:styleId="245">
    <w:name w:val="toc 8"/>
    <w:basedOn w:val="248"/>
    <w:next w:val="248"/>
    <w:uiPriority w:val="39"/>
    <w:unhideWhenUsed/>
    <w:pPr>
      <w:ind w:left="1984" w:right="0" w:hanging="0"/>
      <w:spacing w:after="57"/>
    </w:pPr>
  </w:style>
  <w:style w:type="paragraph" w:styleId="246">
    <w:name w:val="toc 9"/>
    <w:basedOn w:val="248"/>
    <w:next w:val="248"/>
    <w:uiPriority w:val="39"/>
    <w:unhideWhenUsed/>
    <w:pPr>
      <w:ind w:left="2268" w:right="0" w:hanging="0"/>
      <w:spacing w:after="57"/>
    </w:pPr>
  </w:style>
  <w:style w:type="paragraph" w:styleId="247">
    <w:name w:val="TOC Heading"/>
    <w:uiPriority w:val="39"/>
    <w:unhideWhenUsed/>
  </w:style>
  <w:style w:type="paragraph" w:styleId="248" w:default="1">
    <w:name w:val="Normal"/>
    <w:qFormat/>
  </w:style>
  <w:style w:type="table" w:styleId="24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250" w:default="1">
    <w:name w:val="No List"/>
    <w:uiPriority w:val="99"/>
    <w:semiHidden/>
    <w:unhideWhenUsed/>
  </w:style>
  <w:style w:type="paragraph" w:styleId="251">
    <w:name w:val="No Spacing"/>
    <w:basedOn w:val="248"/>
    <w:qFormat/>
    <w:uiPriority w:val="1"/>
    <w:pPr>
      <w:spacing w:lineRule="auto" w:line="240" w:after="0"/>
    </w:pPr>
  </w:style>
  <w:style w:type="paragraph" w:styleId="252">
    <w:name w:val="List Paragraph"/>
    <w:basedOn w:val="248"/>
    <w:qFormat/>
    <w:uiPriority w:val="34"/>
    <w:pPr>
      <w:contextualSpacing w:val="true"/>
      <w:ind w:left="720"/>
    </w:pPr>
  </w:style>
  <w:style w:type="character" w:styleId="253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ONLYOFFICE/5.2.8.24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</cp:coreProperties>
</file>